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25" w:rsidRDefault="00036E25" w:rsidP="001772C8">
      <w:pPr>
        <w:tabs>
          <w:tab w:val="left" w:pos="7020"/>
        </w:tabs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noProof/>
          <w:color w:val="000080"/>
          <w:sz w:val="36"/>
          <w:lang w:val="es-PE" w:eastAsia="es-PE"/>
        </w:rPr>
        <w:drawing>
          <wp:inline distT="0" distB="0" distL="0" distR="0">
            <wp:extent cx="4660900" cy="861253"/>
            <wp:effectExtent l="38100" t="38100" r="101600" b="91440"/>
            <wp:docPr id="9" name="Imagen 9" descr="Banner DDHH_V01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DDHH_V01 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129" cy="86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72C8" w:rsidRPr="001772C8" w:rsidRDefault="001772C8" w:rsidP="0030275F">
      <w:pPr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2C8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Programa de la materia</w:t>
      </w:r>
    </w:p>
    <w:p w:rsidR="001772C8" w:rsidRDefault="001772C8" w:rsidP="001772C8">
      <w:pPr>
        <w:tabs>
          <w:tab w:val="left" w:pos="7020"/>
        </w:tabs>
        <w:spacing w:before="120" w:after="120"/>
        <w:jc w:val="center"/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I.5</w:t>
      </w:r>
      <w:r w:rsidRPr="001772C8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11170C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Acceso</w:t>
      </w:r>
      <w:proofErr w:type="gramEnd"/>
      <w:r w:rsidR="0011170C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la Justicia</w:t>
      </w:r>
      <w:r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A3A1C">
        <w:rPr>
          <w:rFonts w:ascii="Candara" w:hAnsi="Candara" w:cs="Lucida Sans Unicode"/>
          <w:b/>
          <w:color w:val="943634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 perspectiva de género</w:t>
      </w:r>
    </w:p>
    <w:p w:rsidR="00F27C2A" w:rsidRDefault="00F27C2A" w:rsidP="000170AE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165735</wp:posOffset>
                </wp:positionV>
                <wp:extent cx="1114425" cy="0"/>
                <wp:effectExtent l="27305" t="22860" r="20320" b="2476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7E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94.4pt;margin-top:13.05pt;width:8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" strokecolor="#e5b8b7" strokeweight="3pt">
                <v:shadow color="#622423" opacity=".5" offset="1pt"/>
              </v:shape>
            </w:pict>
          </mc:Fallback>
        </mc:AlternateConten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Introducción </w:t>
      </w:r>
    </w:p>
    <w:p w:rsidR="0011170C" w:rsidRPr="00E56C09" w:rsidRDefault="00EB5F9D" w:rsidP="0011170C">
      <w:pPr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E56C09">
        <w:rPr>
          <w:rFonts w:ascii="Candara" w:hAnsi="Candara" w:cs="Arial"/>
          <w:color w:val="441A18"/>
          <w:sz w:val="25"/>
          <w:szCs w:val="25"/>
        </w:rPr>
        <w:t>La materia busca brindar elementos para la comprensión, análisis y aplicación de los conceptos fundamentales que se ponen de manifiesto en el acceso a la justicia y su relación con igualdad entre mujeres y hombres, desde una perspectiva de género, de la sociología jurídica y en un marco de respeto a los derechos humanos</w:t>
      </w:r>
      <w:r w:rsidR="0011170C" w:rsidRPr="00E56C09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036E25" w:rsidRPr="0096362D" w:rsidRDefault="00036E25" w:rsidP="0011170C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165735</wp:posOffset>
                </wp:positionV>
                <wp:extent cx="1114425" cy="0"/>
                <wp:effectExtent l="27305" t="22860" r="20320" b="247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FA37" id="Conector recto de flecha 2" o:spid="_x0000_s1026" type="#_x0000_t32" style="position:absolute;margin-left:173.9pt;margin-top:13.05pt;width:8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Descripción de la materia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EB5F9D" w:rsidRPr="00E56C09" w:rsidRDefault="00EB5F9D" w:rsidP="00EB5F9D">
      <w:pPr>
        <w:jc w:val="both"/>
        <w:rPr>
          <w:rFonts w:ascii="Candara" w:hAnsi="Candara"/>
          <w:color w:val="441A18"/>
          <w:sz w:val="25"/>
          <w:szCs w:val="25"/>
          <w:lang w:val="es-AR"/>
        </w:rPr>
      </w:pPr>
      <w:r w:rsidRPr="00E56C09">
        <w:rPr>
          <w:rFonts w:ascii="Candara" w:hAnsi="Candara"/>
          <w:color w:val="441A18"/>
          <w:sz w:val="25"/>
          <w:szCs w:val="25"/>
          <w:lang w:val="es-AR"/>
        </w:rPr>
        <w:t xml:space="preserve">La materia consta de 3 unidades: la primera unidad, a través de la lectura y la reflexión, nos proporcionará elementos conceptuales básicos que permitan realizar el análisis socio-jurídico desde una perspectiva de género y derechos humanos, la condición y posición de las mujeres. A través de la revisión de la teoría feminista, se explorarán los conceptos básicos que permitan el análisis transversal e </w:t>
      </w:r>
      <w:proofErr w:type="spellStart"/>
      <w:r w:rsidRPr="00E56C09">
        <w:rPr>
          <w:rFonts w:ascii="Candara" w:hAnsi="Candara"/>
          <w:color w:val="441A18"/>
          <w:sz w:val="25"/>
          <w:szCs w:val="25"/>
          <w:lang w:val="es-AR"/>
        </w:rPr>
        <w:t>interseccional</w:t>
      </w:r>
      <w:proofErr w:type="spellEnd"/>
      <w:r w:rsidRPr="00E56C09">
        <w:rPr>
          <w:rFonts w:ascii="Candara" w:hAnsi="Candara"/>
          <w:color w:val="441A18"/>
          <w:sz w:val="25"/>
          <w:szCs w:val="25"/>
          <w:lang w:val="es-AR"/>
        </w:rPr>
        <w:t xml:space="preserve"> del acceso a la j</w:t>
      </w:r>
      <w:r w:rsidR="00E56C09" w:rsidRPr="00E56C09">
        <w:rPr>
          <w:rFonts w:ascii="Candara" w:hAnsi="Candara"/>
          <w:color w:val="441A18"/>
          <w:sz w:val="25"/>
          <w:szCs w:val="25"/>
          <w:lang w:val="es-AR"/>
        </w:rPr>
        <w:t>usticia y la equidad de género.</w:t>
      </w:r>
    </w:p>
    <w:p w:rsidR="00EB5F9D" w:rsidRPr="00E56C09" w:rsidRDefault="00EB5F9D" w:rsidP="00EB5F9D">
      <w:pPr>
        <w:jc w:val="both"/>
        <w:rPr>
          <w:rFonts w:ascii="Candara" w:hAnsi="Candara"/>
          <w:color w:val="441A18"/>
          <w:sz w:val="25"/>
          <w:szCs w:val="25"/>
          <w:lang w:val="es-AR"/>
        </w:rPr>
      </w:pPr>
      <w:r w:rsidRPr="00E56C09">
        <w:rPr>
          <w:rFonts w:ascii="Candara" w:hAnsi="Candara"/>
          <w:color w:val="441A18"/>
          <w:sz w:val="25"/>
          <w:szCs w:val="25"/>
          <w:lang w:val="es-AR"/>
        </w:rPr>
        <w:t>La segunda unidad permitirá conocer y analizar el marco normativo internacional, tanto del sistema de las Naciones Unidas como el Sistema Interamericano de los Derechos Humanos, que tutelan el derecho a la igualdad y no discriminación por género, así como sus órganos de protección y vigilancia, sus recomendaciones, exhortos y mecanismos que se han creado de manera específica para garantizar el acceso de las mujeres a la justicia como un derecho humano.</w:t>
      </w:r>
    </w:p>
    <w:p w:rsidR="0011170C" w:rsidRPr="00E56C09" w:rsidRDefault="00EB5F9D" w:rsidP="00EB5F9D">
      <w:pPr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E56C09">
        <w:rPr>
          <w:rFonts w:ascii="Candara" w:hAnsi="Candara"/>
          <w:color w:val="441A18"/>
          <w:sz w:val="25"/>
          <w:szCs w:val="25"/>
          <w:lang w:val="es-AR"/>
        </w:rPr>
        <w:t xml:space="preserve">La tercera unidad permitirá analizar las herramientas metodológicas para incorporar la perspectiva de género en la procuración, administración e impartición de la justicia con la finalidad de analizar casos concretos que permitan identificar los mecanismos de actuación para la tutela del acceso a la justicia como un derecho humano a la luz de los estándares jurídicos vinculados a la igualdad de género y a los derechos de las </w:t>
      </w:r>
      <w:r w:rsidRPr="00E56C09">
        <w:rPr>
          <w:rFonts w:ascii="Candara" w:hAnsi="Candara"/>
          <w:color w:val="441A18"/>
          <w:sz w:val="25"/>
          <w:szCs w:val="25"/>
          <w:lang w:val="es-AR"/>
        </w:rPr>
        <w:lastRenderedPageBreak/>
        <w:t>mujeres planteado por la Comisión Interamericana de Derechos Humanos(2011) y las recomendaciones del Comité de la CEDAW (2015) en materia de acceso a la justicia de las mujeres</w:t>
      </w:r>
      <w:r w:rsidR="0011170C" w:rsidRPr="00E56C09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036E25" w:rsidRPr="0011170C" w:rsidRDefault="00036E25" w:rsidP="0011170C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>
        <w:rPr>
          <w:rFonts w:ascii="Lucida Sans Unicode" w:hAnsi="Lucida Sans Unicode" w:cs="Lucida Sans Unicode"/>
          <w:b/>
          <w:noProof/>
          <w:color w:val="00008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153670</wp:posOffset>
                </wp:positionV>
                <wp:extent cx="1114425" cy="0"/>
                <wp:effectExtent l="27305" t="20320" r="20320" b="2730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1DAC" id="Conector recto de flecha 3" o:spid="_x0000_s1026" type="#_x0000_t32" style="position:absolute;margin-left:120.65pt;margin-top:12.1pt;width:8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" strokecolor="#e5b8b7" strokeweight="3pt">
                <v:shadow color="#622423" opacity=".5" offset="1pt"/>
              </v:shape>
            </w:pict>
          </mc:Fallback>
        </mc:AlternateConten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>Objetivo general</w:t>
      </w:r>
    </w:p>
    <w:p w:rsidR="000170AE" w:rsidRPr="00BA6A0D" w:rsidRDefault="00EB5F9D" w:rsidP="000170AE">
      <w:pPr>
        <w:pStyle w:val="Sinespaciado"/>
        <w:rPr>
          <w:rFonts w:ascii="Candara" w:hAnsi="Candara" w:cs="Arial"/>
          <w:color w:val="441A18"/>
          <w:sz w:val="25"/>
          <w:szCs w:val="25"/>
          <w:lang w:val="es-GT"/>
        </w:rPr>
      </w:pPr>
      <w:r w:rsidRPr="00BA6A0D">
        <w:rPr>
          <w:rFonts w:ascii="Candara" w:hAnsi="Candara"/>
          <w:color w:val="441A18"/>
          <w:sz w:val="25"/>
          <w:szCs w:val="25"/>
        </w:rPr>
        <w:t xml:space="preserve">Conocer los elementos conceptuales que permitan analizar de manera transversal e </w:t>
      </w:r>
      <w:proofErr w:type="spellStart"/>
      <w:r w:rsidRPr="00BA6A0D">
        <w:rPr>
          <w:rFonts w:ascii="Candara" w:hAnsi="Candara"/>
          <w:color w:val="441A18"/>
          <w:sz w:val="25"/>
          <w:szCs w:val="25"/>
        </w:rPr>
        <w:t>interseccional</w:t>
      </w:r>
      <w:proofErr w:type="spellEnd"/>
      <w:r w:rsidRPr="00BA6A0D">
        <w:rPr>
          <w:rFonts w:ascii="Candara" w:hAnsi="Candara"/>
          <w:color w:val="441A18"/>
          <w:sz w:val="25"/>
          <w:szCs w:val="25"/>
        </w:rPr>
        <w:t xml:space="preserve"> la condición de las mujeres y su acceso a la justicia desde una perspectiva de género, de la sociología jurídica y de los derechos humanos</w:t>
      </w:r>
      <w:r w:rsidR="0011170C" w:rsidRPr="00BA6A0D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11170C" w:rsidRDefault="0011170C" w:rsidP="000170AE">
      <w:pPr>
        <w:pStyle w:val="Sinespaciado"/>
      </w:pPr>
    </w:p>
    <w:p w:rsidR="00036E25" w:rsidRPr="00C527B6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25"/>
          <w:szCs w:val="25"/>
        </w:rPr>
      </w:pPr>
      <w:r>
        <w:rPr>
          <w:rFonts w:ascii="Lucida Sans Unicode" w:hAnsi="Lucida Sans Unicode" w:cs="Lucida Sans Unicode"/>
          <w:b/>
          <w:noProof/>
          <w:color w:val="000080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215265</wp:posOffset>
                </wp:positionV>
                <wp:extent cx="1114425" cy="0"/>
                <wp:effectExtent l="19050" t="19050" r="19050" b="1905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86FF" id="Conector recto de flecha 4" o:spid="_x0000_s1026" type="#_x0000_t32" style="position:absolute;margin-left:147.65pt;margin-top:16.95pt;width:8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" strokecolor="#e5b8b7" strokeweight="3pt">
                <v:shadow color="#622423" opacity=".5" offset="1pt"/>
              </v:shape>
            </w:pict>
          </mc:Fallback>
        </mc:AlternateConten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>Objetivos es</w:t>
      </w:r>
      <w:r w:rsidRPr="00C527B6">
        <w:rPr>
          <w:rFonts w:ascii="Candara" w:hAnsi="Candara" w:cs="Lucida Sans Unicode"/>
          <w:b/>
          <w:color w:val="943634"/>
          <w:sz w:val="25"/>
          <w:szCs w:val="25"/>
        </w:rPr>
        <w:t>pecíficos</w:t>
      </w:r>
    </w:p>
    <w:p w:rsidR="00036E25" w:rsidRPr="00C527B6" w:rsidRDefault="00036E25" w:rsidP="00036E25">
      <w:pPr>
        <w:numPr>
          <w:ilvl w:val="0"/>
          <w:numId w:val="1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441A18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I: </w:t>
      </w:r>
      <w:r w:rsidR="00EB5F9D">
        <w:rPr>
          <w:rFonts w:ascii="Candara" w:hAnsi="Candara" w:cs="Arial"/>
          <w:b/>
          <w:color w:val="632423"/>
          <w:sz w:val="25"/>
          <w:szCs w:val="25"/>
          <w:lang w:val="es-GT"/>
        </w:rPr>
        <w:t>Aspectos conceptuales de la perspectiva de género en el derecho</w:t>
      </w:r>
    </w:p>
    <w:p w:rsidR="0011170C" w:rsidRPr="00BA6A0D" w:rsidRDefault="00EB5F9D" w:rsidP="0011170C">
      <w:pPr>
        <w:spacing w:after="0" w:line="240" w:lineRule="auto"/>
        <w:contextualSpacing/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BA6A0D">
        <w:rPr>
          <w:rFonts w:ascii="Candara" w:hAnsi="Candara"/>
          <w:color w:val="441A18"/>
          <w:sz w:val="25"/>
          <w:szCs w:val="25"/>
        </w:rPr>
        <w:t>Contar con elementos conceptuales elaborados desde la teoría de género, tales como sexo, género, perspectiva de género, androcentrismo, entre otros que permitan a las y los participantes dilucidar la lógica jurídica que subyacen las estructuras administrativas y jurisdiccionales de la administración y aplicación de la justicia</w:t>
      </w:r>
      <w:r w:rsidR="00BA6A0D">
        <w:rPr>
          <w:rFonts w:ascii="Candara" w:hAnsi="Candara"/>
          <w:color w:val="441A18"/>
          <w:sz w:val="25"/>
          <w:szCs w:val="25"/>
        </w:rPr>
        <w:t>.</w:t>
      </w:r>
    </w:p>
    <w:p w:rsidR="00A04C68" w:rsidRPr="00C527B6" w:rsidRDefault="00A04C68" w:rsidP="0011170C">
      <w:pPr>
        <w:spacing w:after="0" w:line="240" w:lineRule="auto"/>
        <w:contextualSpacing/>
        <w:jc w:val="both"/>
        <w:rPr>
          <w:rFonts w:ascii="Candara" w:hAnsi="Candara" w:cs="Arial"/>
          <w:color w:val="632423"/>
          <w:sz w:val="25"/>
          <w:szCs w:val="25"/>
          <w:lang w:val="es-GT"/>
        </w:rPr>
      </w:pPr>
    </w:p>
    <w:p w:rsidR="00036E25" w:rsidRPr="00C527B6" w:rsidRDefault="00036E25" w:rsidP="00036E25">
      <w:pPr>
        <w:numPr>
          <w:ilvl w:val="0"/>
          <w:numId w:val="3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II: </w:t>
      </w:r>
      <w:r w:rsidR="00EB5F9D">
        <w:rPr>
          <w:rFonts w:ascii="Candara" w:hAnsi="Candara" w:cs="Lucida Sans Unicode"/>
          <w:b/>
          <w:color w:val="632423"/>
          <w:sz w:val="25"/>
          <w:szCs w:val="25"/>
        </w:rPr>
        <w:t>Marco normativo i</w:t>
      </w:r>
      <w:r w:rsidR="00B66C89">
        <w:rPr>
          <w:rFonts w:ascii="Candara" w:hAnsi="Candara" w:cs="Lucida Sans Unicode"/>
          <w:b/>
          <w:color w:val="632423"/>
          <w:sz w:val="25"/>
          <w:szCs w:val="25"/>
        </w:rPr>
        <w:t>nternacional</w:t>
      </w:r>
      <w:r w:rsidR="0035125C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  <w:r w:rsidR="00EB5F9D">
        <w:rPr>
          <w:rFonts w:ascii="Candara" w:hAnsi="Candara" w:cs="Lucida Sans Unicode"/>
          <w:b/>
          <w:color w:val="632423"/>
          <w:sz w:val="25"/>
          <w:szCs w:val="25"/>
        </w:rPr>
        <w:t>que consagra el derecho a la igualdad de género</w:t>
      </w:r>
    </w:p>
    <w:p w:rsidR="0011170C" w:rsidRPr="00BA6A0D" w:rsidRDefault="00EB5F9D" w:rsidP="00EB5F9D">
      <w:pPr>
        <w:spacing w:after="0" w:line="240" w:lineRule="auto"/>
        <w:contextualSpacing/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BA6A0D">
        <w:rPr>
          <w:rFonts w:ascii="Candara" w:hAnsi="Candara"/>
          <w:color w:val="441A18"/>
          <w:sz w:val="25"/>
          <w:szCs w:val="25"/>
        </w:rPr>
        <w:t>Conocer y reconocer los instrumentos internacionales que obliga a los Estados a establecer acciones específicas para garantizar el acceso a la justicia para las mujeres a fin de tutelar el ejercicio pleno del derecho a la igualdad</w:t>
      </w:r>
      <w:r w:rsidR="0011170C" w:rsidRPr="00BA6A0D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11170C" w:rsidRPr="00C527B6" w:rsidRDefault="0011170C" w:rsidP="00036E25">
      <w:pPr>
        <w:spacing w:after="0" w:line="240" w:lineRule="auto"/>
        <w:rPr>
          <w:rFonts w:ascii="Candara" w:hAnsi="Candara" w:cs="Lucida Sans Unicode"/>
          <w:bCs/>
          <w:color w:val="441A18"/>
          <w:sz w:val="25"/>
          <w:szCs w:val="25"/>
        </w:rPr>
      </w:pPr>
    </w:p>
    <w:p w:rsidR="00036E25" w:rsidRPr="00C527B6" w:rsidRDefault="00036E25" w:rsidP="00036E25">
      <w:pPr>
        <w:numPr>
          <w:ilvl w:val="0"/>
          <w:numId w:val="2"/>
        </w:numPr>
        <w:tabs>
          <w:tab w:val="left" w:pos="371"/>
          <w:tab w:val="left" w:pos="10185"/>
          <w:tab w:val="left" w:pos="11385"/>
          <w:tab w:val="left" w:pos="12585"/>
        </w:tabs>
        <w:spacing w:before="120" w:after="120"/>
        <w:ind w:left="371"/>
        <w:jc w:val="both"/>
        <w:rPr>
          <w:rFonts w:ascii="Candara" w:hAnsi="Candara" w:cs="Lucida Sans Unicode"/>
          <w:b/>
          <w:color w:val="632423"/>
          <w:sz w:val="25"/>
          <w:szCs w:val="25"/>
        </w:rPr>
      </w:pPr>
      <w:r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Unidad III: </w:t>
      </w:r>
      <w:r w:rsidR="00EB5F9D">
        <w:rPr>
          <w:rFonts w:ascii="Candara" w:hAnsi="Candara" w:cs="Lucida Sans Unicode"/>
          <w:b/>
          <w:color w:val="632423"/>
          <w:sz w:val="25"/>
          <w:szCs w:val="25"/>
        </w:rPr>
        <w:t>Acceso a la justicia con perspectiva de género</w:t>
      </w:r>
    </w:p>
    <w:p w:rsidR="00015534" w:rsidRPr="00BA6A0D" w:rsidRDefault="00933586" w:rsidP="00015534">
      <w:pPr>
        <w:spacing w:after="0" w:line="240" w:lineRule="auto"/>
        <w:contextualSpacing/>
        <w:jc w:val="both"/>
        <w:rPr>
          <w:rFonts w:ascii="Candara" w:hAnsi="Candara" w:cs="Arial"/>
          <w:color w:val="441A18"/>
          <w:sz w:val="25"/>
          <w:szCs w:val="25"/>
          <w:lang w:val="es-GT"/>
        </w:rPr>
      </w:pPr>
      <w:r w:rsidRPr="00BA6A0D">
        <w:rPr>
          <w:rFonts w:ascii="Candara" w:hAnsi="Candara"/>
          <w:color w:val="441A18"/>
          <w:sz w:val="25"/>
          <w:szCs w:val="25"/>
        </w:rPr>
        <w:t>Conocer las herramientas metodológicas para incorporar la perspectiva de género en la procuración, administración e impartición de la justicia con la finalidad de analizar casos concretos medidas especiales a la luz de los estándares jurídicos vinculados a la igualdad de género de la CIDH (2011) y las recomendaciones del Comité de la CEDAW (2015) en materia de acceso a la justicia</w:t>
      </w:r>
      <w:r w:rsidR="00015534" w:rsidRPr="00BA6A0D">
        <w:rPr>
          <w:rFonts w:ascii="Candara" w:hAnsi="Candara" w:cs="Arial"/>
          <w:color w:val="441A18"/>
          <w:sz w:val="25"/>
          <w:szCs w:val="25"/>
          <w:lang w:val="es-GT"/>
        </w:rPr>
        <w:t>.</w:t>
      </w:r>
    </w:p>
    <w:p w:rsidR="00F73585" w:rsidRPr="00C527B6" w:rsidRDefault="00F73585" w:rsidP="00C92E6C">
      <w:pPr>
        <w:pStyle w:val="Sinespaciado"/>
        <w:rPr>
          <w:rFonts w:ascii="Candara" w:hAnsi="Candara"/>
          <w:sz w:val="25"/>
          <w:szCs w:val="25"/>
        </w:rPr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493FC" wp14:editId="43DE256E">
                <wp:simplePos x="0" y="0"/>
                <wp:positionH relativeFrom="column">
                  <wp:posOffset>2389505</wp:posOffset>
                </wp:positionH>
                <wp:positionV relativeFrom="paragraph">
                  <wp:posOffset>220980</wp:posOffset>
                </wp:positionV>
                <wp:extent cx="1114425" cy="0"/>
                <wp:effectExtent l="19050" t="27305" r="19050" b="2032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6CF8" id="Conector recto de flecha 5" o:spid="_x0000_s1026" type="#_x0000_t32" style="position:absolute;margin-left:188.15pt;margin-top:17.4pt;width:8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Descripción de las unidades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Pr="008F41A1" w:rsidRDefault="00036E25" w:rsidP="00036E25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Unidad I: </w:t>
      </w:r>
      <w:r w:rsidR="00062603">
        <w:rPr>
          <w:rFonts w:ascii="Candara" w:hAnsi="Candara" w:cs="Arial"/>
          <w:b/>
          <w:color w:val="632423"/>
          <w:sz w:val="25"/>
          <w:szCs w:val="25"/>
          <w:lang w:val="es-GT"/>
        </w:rPr>
        <w:t>Aspectos conceptuales de la perspectiva de género en el derecho</w:t>
      </w:r>
      <w:r w:rsidR="0011170C" w:rsidRPr="008F41A1">
        <w:rPr>
          <w:rFonts w:ascii="Candara" w:hAnsi="Candara"/>
          <w:b/>
          <w:color w:val="632423"/>
          <w:sz w:val="25"/>
          <w:szCs w:val="25"/>
        </w:rPr>
        <w:t xml:space="preserve"> </w:t>
      </w:r>
    </w:p>
    <w:p w:rsidR="00332B89" w:rsidRPr="00BA6A0D" w:rsidRDefault="00332B89" w:rsidP="00332B89">
      <w:pPr>
        <w:pStyle w:val="Textoindependiente"/>
        <w:tabs>
          <w:tab w:val="left" w:pos="10185"/>
          <w:tab w:val="left" w:pos="11385"/>
          <w:tab w:val="left" w:pos="12585"/>
        </w:tabs>
        <w:spacing w:line="276" w:lineRule="auto"/>
        <w:rPr>
          <w:rFonts w:ascii="Candara" w:eastAsia="Calibri" w:hAnsi="Candara" w:cs="KOGEEJ+ArialMT"/>
          <w:color w:val="441A18"/>
          <w:sz w:val="25"/>
          <w:szCs w:val="25"/>
          <w:lang w:eastAsia="en-US"/>
        </w:rPr>
      </w:pPr>
      <w:r w:rsidRPr="00BA6A0D">
        <w:rPr>
          <w:rFonts w:ascii="Candara" w:hAnsi="Candara" w:cs="Times New Roman"/>
          <w:b/>
          <w:color w:val="441A18"/>
          <w:sz w:val="25"/>
          <w:szCs w:val="25"/>
        </w:rPr>
        <w:t>Tema 1:</w:t>
      </w:r>
      <w:r w:rsidRPr="00BA6A0D">
        <w:rPr>
          <w:rFonts w:ascii="Candara" w:eastAsia="Calibri" w:hAnsi="Candara" w:cs="KOGEEJ+ArialMT"/>
          <w:color w:val="441A18"/>
          <w:sz w:val="25"/>
          <w:szCs w:val="25"/>
          <w:lang w:eastAsia="en-US"/>
        </w:rPr>
        <w:t xml:space="preserve"> </w:t>
      </w:r>
      <w:r w:rsidRPr="00BA6A0D">
        <w:rPr>
          <w:rFonts w:ascii="Candara" w:hAnsi="Candara" w:cs="Times New Roman"/>
          <w:color w:val="441A18"/>
          <w:sz w:val="25"/>
          <w:szCs w:val="25"/>
        </w:rPr>
        <w:t>Conceptos básico para el análisis de género.</w:t>
      </w:r>
    </w:p>
    <w:p w:rsidR="00332B89" w:rsidRPr="00BA6A0D" w:rsidRDefault="00332B89" w:rsidP="00332B89">
      <w:pPr>
        <w:pStyle w:val="Textoindependiente"/>
        <w:numPr>
          <w:ilvl w:val="0"/>
          <w:numId w:val="18"/>
        </w:numPr>
        <w:tabs>
          <w:tab w:val="left" w:pos="1551"/>
          <w:tab w:val="left" w:pos="12585"/>
        </w:tabs>
        <w:spacing w:line="276" w:lineRule="auto"/>
        <w:ind w:left="984" w:firstLine="0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Género</w:t>
      </w:r>
    </w:p>
    <w:p w:rsidR="00332B89" w:rsidRPr="00BA6A0D" w:rsidRDefault="00332B89" w:rsidP="00332B89">
      <w:pPr>
        <w:pStyle w:val="Textoindependiente"/>
        <w:numPr>
          <w:ilvl w:val="0"/>
          <w:numId w:val="18"/>
        </w:numPr>
        <w:tabs>
          <w:tab w:val="left" w:pos="1551"/>
          <w:tab w:val="left" w:pos="12585"/>
        </w:tabs>
        <w:spacing w:line="276" w:lineRule="auto"/>
        <w:ind w:left="984" w:firstLine="0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lastRenderedPageBreak/>
        <w:t>Androcentrismo</w:t>
      </w:r>
    </w:p>
    <w:p w:rsidR="00332B89" w:rsidRPr="00BA6A0D" w:rsidRDefault="00332B89" w:rsidP="00332B89">
      <w:pPr>
        <w:pStyle w:val="Textoindependiente"/>
        <w:numPr>
          <w:ilvl w:val="0"/>
          <w:numId w:val="18"/>
        </w:numPr>
        <w:tabs>
          <w:tab w:val="left" w:pos="1551"/>
          <w:tab w:val="left" w:pos="12585"/>
        </w:tabs>
        <w:spacing w:line="276" w:lineRule="auto"/>
        <w:ind w:left="984" w:firstLine="0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Perspectiva de género</w:t>
      </w:r>
    </w:p>
    <w:p w:rsidR="00332B89" w:rsidRPr="00BA6A0D" w:rsidRDefault="00332B89" w:rsidP="00332B89">
      <w:pPr>
        <w:pStyle w:val="Textoindependiente"/>
        <w:numPr>
          <w:ilvl w:val="0"/>
          <w:numId w:val="18"/>
        </w:numPr>
        <w:tabs>
          <w:tab w:val="left" w:pos="1551"/>
          <w:tab w:val="left" w:pos="12585"/>
        </w:tabs>
        <w:spacing w:line="276" w:lineRule="auto"/>
        <w:ind w:left="984" w:firstLine="0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Lenguaje sexista</w:t>
      </w:r>
    </w:p>
    <w:p w:rsidR="00332B89" w:rsidRPr="00BA6A0D" w:rsidRDefault="00332B89" w:rsidP="00332B89">
      <w:pPr>
        <w:pStyle w:val="Textoindependiente"/>
        <w:tabs>
          <w:tab w:val="left" w:pos="1551"/>
          <w:tab w:val="left" w:pos="12585"/>
        </w:tabs>
        <w:spacing w:line="276" w:lineRule="auto"/>
        <w:ind w:left="984"/>
        <w:rPr>
          <w:rFonts w:ascii="Candara" w:hAnsi="Candara" w:cs="Times New Roman"/>
          <w:color w:val="441A18"/>
          <w:sz w:val="25"/>
          <w:szCs w:val="25"/>
        </w:rPr>
      </w:pPr>
    </w:p>
    <w:p w:rsidR="00332B89" w:rsidRPr="00BA6A0D" w:rsidRDefault="00332B89" w:rsidP="00332B89">
      <w:pPr>
        <w:pStyle w:val="Textoindependiente"/>
        <w:tabs>
          <w:tab w:val="left" w:pos="701"/>
          <w:tab w:val="left" w:pos="11385"/>
          <w:tab w:val="left" w:pos="12585"/>
        </w:tabs>
        <w:spacing w:line="276" w:lineRule="auto"/>
        <w:rPr>
          <w:rFonts w:ascii="Candara" w:eastAsia="Calibri" w:hAnsi="Candara" w:cs="KOGEEJ+ArialMT"/>
          <w:color w:val="441A18"/>
          <w:sz w:val="25"/>
          <w:szCs w:val="25"/>
          <w:lang w:eastAsia="en-US"/>
        </w:rPr>
      </w:pPr>
      <w:r w:rsidRPr="00BA6A0D">
        <w:rPr>
          <w:rFonts w:ascii="Candara" w:hAnsi="Candara" w:cs="Times New Roman"/>
          <w:b/>
          <w:color w:val="441A18"/>
          <w:sz w:val="25"/>
          <w:szCs w:val="25"/>
        </w:rPr>
        <w:t>Tema 2</w:t>
      </w:r>
      <w:r w:rsidRPr="00BA6A0D">
        <w:rPr>
          <w:rFonts w:ascii="Candara" w:eastAsia="Calibri" w:hAnsi="Candara" w:cs="KOGEEJ+ArialMT"/>
          <w:b/>
          <w:color w:val="441A18"/>
          <w:sz w:val="25"/>
          <w:szCs w:val="25"/>
          <w:lang w:eastAsia="en-US"/>
        </w:rPr>
        <w:t>:</w:t>
      </w:r>
      <w:r w:rsidRPr="00BA6A0D">
        <w:rPr>
          <w:rFonts w:ascii="Candara" w:eastAsia="Calibri" w:hAnsi="Candara" w:cs="KOGEEJ+ArialMT"/>
          <w:color w:val="441A18"/>
          <w:sz w:val="25"/>
          <w:szCs w:val="25"/>
          <w:lang w:eastAsia="en-US"/>
        </w:rPr>
        <w:t xml:space="preserve"> </w:t>
      </w:r>
      <w:r w:rsidRPr="00BA6A0D">
        <w:rPr>
          <w:rFonts w:ascii="Candara" w:hAnsi="Candara" w:cs="Times New Roman"/>
          <w:b/>
          <w:color w:val="441A18"/>
          <w:sz w:val="25"/>
          <w:szCs w:val="25"/>
        </w:rPr>
        <w:t>Las relaciones de género y el acceso a la</w:t>
      </w:r>
      <w:r w:rsidRPr="00BA6A0D">
        <w:rPr>
          <w:rFonts w:ascii="Candara" w:eastAsia="Calibri" w:hAnsi="Candara" w:cs="KOGEEJ+ArialMT"/>
          <w:b/>
          <w:color w:val="441A18"/>
          <w:sz w:val="25"/>
          <w:szCs w:val="25"/>
          <w:lang w:eastAsia="en-US"/>
        </w:rPr>
        <w:t xml:space="preserve"> </w:t>
      </w:r>
      <w:r w:rsidRPr="00BA6A0D">
        <w:rPr>
          <w:rFonts w:ascii="Candara" w:hAnsi="Candara" w:cs="Times New Roman"/>
          <w:b/>
          <w:color w:val="441A18"/>
          <w:sz w:val="25"/>
          <w:szCs w:val="25"/>
        </w:rPr>
        <w:t>justicia.</w:t>
      </w:r>
    </w:p>
    <w:p w:rsidR="00332B89" w:rsidRPr="00BA6A0D" w:rsidRDefault="00332B89" w:rsidP="00332B89">
      <w:pPr>
        <w:pStyle w:val="Textoindependiente"/>
        <w:numPr>
          <w:ilvl w:val="0"/>
          <w:numId w:val="19"/>
        </w:numPr>
        <w:tabs>
          <w:tab w:val="left" w:pos="1551"/>
          <w:tab w:val="left" w:pos="12585"/>
        </w:tabs>
        <w:spacing w:line="276" w:lineRule="auto"/>
        <w:ind w:firstLine="264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Relaciones de poder</w:t>
      </w:r>
    </w:p>
    <w:p w:rsidR="00332B89" w:rsidRPr="00BA6A0D" w:rsidRDefault="00332B89" w:rsidP="00332B89">
      <w:pPr>
        <w:pStyle w:val="Textoindependiente"/>
        <w:numPr>
          <w:ilvl w:val="0"/>
          <w:numId w:val="19"/>
        </w:numPr>
        <w:tabs>
          <w:tab w:val="left" w:pos="1551"/>
          <w:tab w:val="left" w:pos="12585"/>
        </w:tabs>
        <w:spacing w:line="276" w:lineRule="auto"/>
        <w:ind w:firstLine="264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 xml:space="preserve">Igualdad y equidad de género </w:t>
      </w:r>
    </w:p>
    <w:p w:rsidR="00332B89" w:rsidRPr="00BA6A0D" w:rsidRDefault="00332B89" w:rsidP="00332B89">
      <w:pPr>
        <w:pStyle w:val="Textoindependiente"/>
        <w:numPr>
          <w:ilvl w:val="0"/>
          <w:numId w:val="19"/>
        </w:numPr>
        <w:tabs>
          <w:tab w:val="left" w:pos="1551"/>
          <w:tab w:val="left" w:pos="12585"/>
        </w:tabs>
        <w:spacing w:line="276" w:lineRule="auto"/>
        <w:ind w:firstLine="264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 xml:space="preserve">Discriminación </w:t>
      </w:r>
    </w:p>
    <w:p w:rsidR="00332B89" w:rsidRPr="00BA6A0D" w:rsidRDefault="00332B89" w:rsidP="00332B89">
      <w:pPr>
        <w:pStyle w:val="Textoindependiente"/>
        <w:numPr>
          <w:ilvl w:val="0"/>
          <w:numId w:val="19"/>
        </w:numPr>
        <w:tabs>
          <w:tab w:val="left" w:pos="1551"/>
          <w:tab w:val="left" w:pos="12585"/>
        </w:tabs>
        <w:spacing w:line="276" w:lineRule="auto"/>
        <w:ind w:firstLine="264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Acciones afirmativas</w:t>
      </w:r>
    </w:p>
    <w:p w:rsidR="006A33E0" w:rsidRPr="008F41A1" w:rsidRDefault="006A33E0">
      <w:pPr>
        <w:rPr>
          <w:rFonts w:ascii="Candara" w:hAnsi="Candara"/>
          <w:sz w:val="25"/>
          <w:szCs w:val="25"/>
        </w:rPr>
      </w:pPr>
    </w:p>
    <w:p w:rsidR="00770DB9" w:rsidRPr="008F41A1" w:rsidRDefault="00770DB9" w:rsidP="00770DB9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Unidad II: </w:t>
      </w:r>
      <w:r w:rsidR="003213FF">
        <w:rPr>
          <w:rFonts w:ascii="Candara" w:hAnsi="Candara" w:cs="Lucida Sans Unicode"/>
          <w:b/>
          <w:color w:val="632423"/>
          <w:sz w:val="25"/>
          <w:szCs w:val="25"/>
        </w:rPr>
        <w:t>Marco normativo internacional</w:t>
      </w:r>
      <w:r w:rsidR="003213FF" w:rsidRPr="00C527B6">
        <w:rPr>
          <w:rFonts w:ascii="Candara" w:hAnsi="Candara" w:cs="Lucida Sans Unicode"/>
          <w:b/>
          <w:color w:val="632423"/>
          <w:sz w:val="25"/>
          <w:szCs w:val="25"/>
        </w:rPr>
        <w:t xml:space="preserve"> </w:t>
      </w:r>
      <w:r w:rsidR="003213FF">
        <w:rPr>
          <w:rFonts w:ascii="Candara" w:hAnsi="Candara" w:cs="Lucida Sans Unicode"/>
          <w:b/>
          <w:color w:val="632423"/>
          <w:sz w:val="25"/>
          <w:szCs w:val="25"/>
        </w:rPr>
        <w:t>que consagra el derecho a la igualdad de género</w:t>
      </w:r>
    </w:p>
    <w:p w:rsidR="00332B89" w:rsidRPr="00BA6A0D" w:rsidRDefault="00332B89" w:rsidP="00332B89">
      <w:pPr>
        <w:pStyle w:val="Textoindependiente"/>
        <w:tabs>
          <w:tab w:val="left" w:pos="10185"/>
          <w:tab w:val="left" w:pos="11385"/>
          <w:tab w:val="left" w:pos="12585"/>
        </w:tabs>
        <w:spacing w:line="276" w:lineRule="auto"/>
        <w:jc w:val="both"/>
        <w:rPr>
          <w:rFonts w:ascii="Candara" w:eastAsia="Calibri" w:hAnsi="Candara" w:cs="KOGEEJ+ArialMT"/>
          <w:color w:val="441A18"/>
          <w:sz w:val="25"/>
          <w:szCs w:val="25"/>
          <w:lang w:eastAsia="en-US"/>
        </w:rPr>
      </w:pPr>
      <w:r w:rsidRPr="00BA6A0D">
        <w:rPr>
          <w:rFonts w:ascii="Candara" w:hAnsi="Candara" w:cs="Times New Roman"/>
          <w:b/>
          <w:color w:val="441A18"/>
          <w:sz w:val="25"/>
          <w:szCs w:val="25"/>
        </w:rPr>
        <w:t>Tema 1</w:t>
      </w:r>
      <w:r w:rsidRPr="00BA6A0D">
        <w:rPr>
          <w:rFonts w:ascii="Candara" w:eastAsia="Calibri" w:hAnsi="Candara" w:cs="KOGEEJ+ArialMT"/>
          <w:color w:val="441A18"/>
          <w:sz w:val="25"/>
          <w:szCs w:val="25"/>
          <w:lang w:eastAsia="en-US"/>
        </w:rPr>
        <w:t xml:space="preserve">: </w:t>
      </w:r>
      <w:r w:rsidRPr="00BA6A0D">
        <w:rPr>
          <w:rFonts w:ascii="Candara" w:hAnsi="Candara" w:cs="Times New Roman"/>
          <w:b/>
          <w:color w:val="441A18"/>
          <w:sz w:val="25"/>
          <w:szCs w:val="25"/>
        </w:rPr>
        <w:t>Sistema de las Naciones Unidas</w:t>
      </w:r>
    </w:p>
    <w:p w:rsidR="00332B89" w:rsidRPr="00BA6A0D" w:rsidRDefault="00332B89" w:rsidP="00332B89">
      <w:pPr>
        <w:pStyle w:val="Textoindependiente"/>
        <w:numPr>
          <w:ilvl w:val="0"/>
          <w:numId w:val="20"/>
        </w:numPr>
        <w:tabs>
          <w:tab w:val="left" w:pos="1551"/>
          <w:tab w:val="left" w:pos="12585"/>
        </w:tabs>
        <w:spacing w:line="276" w:lineRule="auto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Comisión de la Condición Jurídica y Social de la Mujer (CSW)</w:t>
      </w:r>
    </w:p>
    <w:p w:rsidR="00332B89" w:rsidRPr="00BA6A0D" w:rsidRDefault="00332B89" w:rsidP="00332B89">
      <w:pPr>
        <w:pStyle w:val="Prrafodelista"/>
        <w:numPr>
          <w:ilvl w:val="0"/>
          <w:numId w:val="21"/>
        </w:numPr>
        <w:spacing w:after="0"/>
        <w:jc w:val="both"/>
        <w:rPr>
          <w:rFonts w:ascii="Candara" w:eastAsia="Times New Roman" w:hAnsi="Candara"/>
          <w:color w:val="441A18"/>
          <w:sz w:val="25"/>
          <w:szCs w:val="25"/>
          <w:lang w:eastAsia="es-ES"/>
        </w:rPr>
      </w:pPr>
      <w:r w:rsidRPr="00BA6A0D">
        <w:rPr>
          <w:rFonts w:ascii="Candara" w:eastAsia="Times New Roman" w:hAnsi="Candara"/>
          <w:color w:val="441A18"/>
          <w:sz w:val="25"/>
          <w:szCs w:val="25"/>
          <w:lang w:eastAsia="es-ES"/>
        </w:rPr>
        <w:t>Declaración y Plataforma de Acción de Beijing de 1995</w:t>
      </w:r>
    </w:p>
    <w:p w:rsidR="00332B89" w:rsidRPr="00BA6A0D" w:rsidRDefault="00332B89" w:rsidP="00332B89">
      <w:pPr>
        <w:pStyle w:val="Prrafodelista"/>
        <w:numPr>
          <w:ilvl w:val="0"/>
          <w:numId w:val="21"/>
        </w:numPr>
        <w:spacing w:after="0"/>
        <w:jc w:val="both"/>
        <w:rPr>
          <w:rFonts w:ascii="Candara" w:eastAsia="Times New Roman" w:hAnsi="Candara"/>
          <w:color w:val="441A18"/>
          <w:sz w:val="25"/>
          <w:szCs w:val="25"/>
          <w:lang w:eastAsia="es-ES"/>
        </w:rPr>
      </w:pPr>
      <w:r w:rsidRPr="00BA6A0D">
        <w:rPr>
          <w:rFonts w:ascii="Candara" w:eastAsia="Times New Roman" w:hAnsi="Candara"/>
          <w:color w:val="441A18"/>
          <w:sz w:val="25"/>
          <w:szCs w:val="25"/>
          <w:lang w:eastAsia="es-ES"/>
        </w:rPr>
        <w:t>Denuncias ante la Comisión de la Condición Jurídica y Social de la Mujer</w:t>
      </w:r>
    </w:p>
    <w:p w:rsidR="00332B89" w:rsidRPr="00BA6A0D" w:rsidRDefault="00332B89" w:rsidP="00332B89">
      <w:pPr>
        <w:pStyle w:val="Textoindependiente"/>
        <w:numPr>
          <w:ilvl w:val="0"/>
          <w:numId w:val="20"/>
        </w:numPr>
        <w:tabs>
          <w:tab w:val="left" w:pos="1551"/>
          <w:tab w:val="left" w:pos="12585"/>
        </w:tabs>
        <w:spacing w:line="276" w:lineRule="auto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Comité de la CEDAW</w:t>
      </w:r>
    </w:p>
    <w:p w:rsidR="00332B89" w:rsidRPr="00BA6A0D" w:rsidRDefault="00332B89" w:rsidP="00332B89">
      <w:pPr>
        <w:pStyle w:val="Prrafodelista"/>
        <w:numPr>
          <w:ilvl w:val="0"/>
          <w:numId w:val="22"/>
        </w:numPr>
        <w:spacing w:after="0"/>
        <w:jc w:val="both"/>
        <w:rPr>
          <w:rFonts w:ascii="Candara" w:eastAsia="Times New Roman" w:hAnsi="Candara"/>
          <w:color w:val="441A18"/>
          <w:sz w:val="25"/>
          <w:szCs w:val="25"/>
          <w:lang w:eastAsia="es-ES"/>
        </w:rPr>
      </w:pPr>
      <w:r w:rsidRPr="00BA6A0D">
        <w:rPr>
          <w:rFonts w:ascii="Candara" w:eastAsia="Times New Roman" w:hAnsi="Candara"/>
          <w:color w:val="441A18"/>
          <w:sz w:val="25"/>
          <w:szCs w:val="25"/>
          <w:lang w:eastAsia="es-ES"/>
        </w:rPr>
        <w:t>Protocolo Facultativo y procedimiento de queja</w:t>
      </w:r>
    </w:p>
    <w:p w:rsidR="00332B89" w:rsidRPr="00BA6A0D" w:rsidRDefault="00332B89" w:rsidP="00332B89">
      <w:pPr>
        <w:pStyle w:val="Prrafodelista"/>
        <w:numPr>
          <w:ilvl w:val="0"/>
          <w:numId w:val="22"/>
        </w:numPr>
        <w:spacing w:after="0"/>
        <w:jc w:val="both"/>
        <w:rPr>
          <w:rFonts w:ascii="Candara" w:eastAsia="Times New Roman" w:hAnsi="Candara"/>
          <w:color w:val="441A18"/>
          <w:sz w:val="25"/>
          <w:szCs w:val="25"/>
          <w:lang w:eastAsia="es-ES"/>
        </w:rPr>
      </w:pPr>
      <w:r w:rsidRPr="00BA6A0D">
        <w:rPr>
          <w:rFonts w:ascii="Candara" w:eastAsia="Times New Roman" w:hAnsi="Candara"/>
          <w:color w:val="441A18"/>
          <w:sz w:val="25"/>
          <w:szCs w:val="25"/>
          <w:lang w:eastAsia="es-ES"/>
        </w:rPr>
        <w:t>Recomendaciones y exhortos a los Estados Partes en materia de acceso a la justicia</w:t>
      </w:r>
    </w:p>
    <w:p w:rsidR="00332B89" w:rsidRPr="00BA6A0D" w:rsidRDefault="00332B89" w:rsidP="00332B89">
      <w:pPr>
        <w:pStyle w:val="Textoindependiente"/>
        <w:tabs>
          <w:tab w:val="left" w:pos="10185"/>
          <w:tab w:val="left" w:pos="11385"/>
          <w:tab w:val="left" w:pos="12585"/>
        </w:tabs>
        <w:spacing w:line="276" w:lineRule="auto"/>
        <w:jc w:val="both"/>
        <w:rPr>
          <w:rFonts w:ascii="Candara" w:eastAsia="Calibri" w:hAnsi="Candara" w:cs="KOGEEJ+ArialMT"/>
          <w:color w:val="441A18"/>
          <w:sz w:val="25"/>
          <w:szCs w:val="25"/>
          <w:lang w:eastAsia="en-US"/>
        </w:rPr>
      </w:pPr>
    </w:p>
    <w:p w:rsidR="00332B89" w:rsidRPr="00BA6A0D" w:rsidRDefault="00332B89" w:rsidP="00332B89">
      <w:pPr>
        <w:pStyle w:val="Textoindependiente"/>
        <w:tabs>
          <w:tab w:val="left" w:pos="10185"/>
          <w:tab w:val="left" w:pos="11385"/>
          <w:tab w:val="left" w:pos="12585"/>
        </w:tabs>
        <w:spacing w:line="276" w:lineRule="auto"/>
        <w:jc w:val="both"/>
        <w:rPr>
          <w:rFonts w:ascii="Candara" w:eastAsia="Calibri" w:hAnsi="Candara" w:cs="KOGEEJ+ArialMT"/>
          <w:color w:val="441A18"/>
          <w:sz w:val="25"/>
          <w:szCs w:val="25"/>
          <w:lang w:eastAsia="en-US"/>
        </w:rPr>
      </w:pPr>
      <w:r w:rsidRPr="00BA6A0D">
        <w:rPr>
          <w:rFonts w:ascii="Candara" w:hAnsi="Candara" w:cs="Times New Roman"/>
          <w:b/>
          <w:color w:val="441A18"/>
          <w:sz w:val="25"/>
          <w:szCs w:val="25"/>
        </w:rPr>
        <w:t>Tema 2:</w:t>
      </w:r>
      <w:r w:rsidRPr="00BA6A0D">
        <w:rPr>
          <w:rFonts w:ascii="Candara" w:eastAsia="Calibri" w:hAnsi="Candara" w:cs="KOGEEJ+ArialMT"/>
          <w:color w:val="441A18"/>
          <w:sz w:val="25"/>
          <w:szCs w:val="25"/>
          <w:lang w:eastAsia="en-US"/>
        </w:rPr>
        <w:t xml:space="preserve"> </w:t>
      </w:r>
      <w:r w:rsidRPr="00BA6A0D">
        <w:rPr>
          <w:rFonts w:ascii="Candara" w:hAnsi="Candara" w:cs="Times New Roman"/>
          <w:b/>
          <w:color w:val="441A18"/>
          <w:sz w:val="25"/>
          <w:szCs w:val="25"/>
        </w:rPr>
        <w:t>Sistema Interamericano de Derechos Humanos</w:t>
      </w:r>
      <w:r w:rsidRPr="00BA6A0D">
        <w:rPr>
          <w:rFonts w:ascii="Candara" w:eastAsia="Calibri" w:hAnsi="Candara" w:cs="KOGEEJ+ArialMT"/>
          <w:color w:val="441A18"/>
          <w:sz w:val="25"/>
          <w:szCs w:val="25"/>
          <w:lang w:eastAsia="en-US"/>
        </w:rPr>
        <w:t xml:space="preserve"> </w:t>
      </w:r>
    </w:p>
    <w:p w:rsidR="00332B89" w:rsidRPr="00BA6A0D" w:rsidRDefault="00332B89" w:rsidP="00332B89">
      <w:pPr>
        <w:pStyle w:val="Textoindependiente"/>
        <w:tabs>
          <w:tab w:val="left" w:pos="1418"/>
          <w:tab w:val="left" w:pos="11385"/>
          <w:tab w:val="left" w:pos="12585"/>
        </w:tabs>
        <w:spacing w:line="276" w:lineRule="auto"/>
        <w:ind w:left="1051"/>
        <w:jc w:val="both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b/>
          <w:color w:val="441A18"/>
          <w:sz w:val="25"/>
          <w:szCs w:val="25"/>
        </w:rPr>
        <w:t xml:space="preserve">a) </w:t>
      </w:r>
      <w:r w:rsidRPr="00BA6A0D">
        <w:rPr>
          <w:rFonts w:ascii="Candara" w:hAnsi="Candara" w:cs="Times New Roman"/>
          <w:color w:val="441A18"/>
          <w:sz w:val="25"/>
          <w:szCs w:val="25"/>
        </w:rPr>
        <w:t>Comisión Interamericana de Derechos Humanos (CIDH)</w:t>
      </w:r>
    </w:p>
    <w:p w:rsidR="00332B89" w:rsidRPr="00BA6A0D" w:rsidRDefault="00332B89" w:rsidP="00332B89">
      <w:pPr>
        <w:pStyle w:val="Textoindependiente"/>
        <w:tabs>
          <w:tab w:val="left" w:pos="1418"/>
          <w:tab w:val="left" w:pos="11385"/>
          <w:tab w:val="left" w:pos="12585"/>
        </w:tabs>
        <w:spacing w:line="276" w:lineRule="auto"/>
        <w:ind w:left="1051"/>
        <w:jc w:val="both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b) Corte Interamericana de Derechos Humanos (Corte IDH)</w:t>
      </w:r>
    </w:p>
    <w:p w:rsidR="00332B89" w:rsidRPr="00BA6A0D" w:rsidRDefault="00332B89" w:rsidP="00332B89">
      <w:pPr>
        <w:pStyle w:val="Textoindependiente"/>
        <w:tabs>
          <w:tab w:val="left" w:pos="1835"/>
          <w:tab w:val="left" w:pos="11385"/>
          <w:tab w:val="left" w:pos="12585"/>
        </w:tabs>
        <w:spacing w:line="276" w:lineRule="auto"/>
        <w:ind w:left="1409"/>
        <w:jc w:val="both"/>
        <w:rPr>
          <w:rFonts w:ascii="Candara" w:eastAsia="Calibri" w:hAnsi="Candara" w:cs="KOGEEJ+ArialMT"/>
          <w:color w:val="441A18"/>
          <w:sz w:val="25"/>
          <w:szCs w:val="25"/>
          <w:lang w:eastAsia="en-US"/>
        </w:rPr>
      </w:pPr>
      <w:r w:rsidRPr="00BA6A0D">
        <w:rPr>
          <w:rFonts w:ascii="Candara" w:eastAsia="Calibri" w:hAnsi="Candara" w:cs="KOGEEJ+ArialMT"/>
          <w:color w:val="441A18"/>
          <w:sz w:val="25"/>
          <w:szCs w:val="25"/>
          <w:lang w:eastAsia="en-US"/>
        </w:rPr>
        <w:t xml:space="preserve">1. </w:t>
      </w:r>
      <w:r w:rsidRPr="00BA6A0D">
        <w:rPr>
          <w:rFonts w:ascii="Candara" w:hAnsi="Candara" w:cs="Times New Roman"/>
          <w:color w:val="441A18"/>
          <w:sz w:val="25"/>
          <w:szCs w:val="25"/>
        </w:rPr>
        <w:t>Presentación de casos</w:t>
      </w:r>
    </w:p>
    <w:p w:rsidR="00332B89" w:rsidRPr="00BA6A0D" w:rsidRDefault="00332B89" w:rsidP="00332B89">
      <w:pPr>
        <w:pStyle w:val="Textoindependiente"/>
        <w:tabs>
          <w:tab w:val="left" w:pos="1418"/>
          <w:tab w:val="left" w:pos="11385"/>
          <w:tab w:val="left" w:pos="12585"/>
        </w:tabs>
        <w:spacing w:line="276" w:lineRule="auto"/>
        <w:ind w:left="1051"/>
        <w:jc w:val="both"/>
        <w:rPr>
          <w:rFonts w:ascii="Candara" w:hAnsi="Candara" w:cs="Times New Roman"/>
          <w:b/>
          <w:color w:val="441A18"/>
          <w:sz w:val="25"/>
          <w:szCs w:val="25"/>
        </w:rPr>
      </w:pPr>
      <w:r w:rsidRPr="00BA6A0D">
        <w:rPr>
          <w:rFonts w:ascii="Candara" w:hAnsi="Candara" w:cs="Times New Roman"/>
          <w:b/>
          <w:color w:val="441A18"/>
          <w:sz w:val="25"/>
          <w:szCs w:val="25"/>
        </w:rPr>
        <w:t xml:space="preserve">c) </w:t>
      </w:r>
      <w:r w:rsidRPr="00BA6A0D">
        <w:rPr>
          <w:rFonts w:ascii="Candara" w:hAnsi="Candara" w:cs="Times New Roman"/>
          <w:color w:val="441A18"/>
          <w:sz w:val="25"/>
          <w:szCs w:val="25"/>
        </w:rPr>
        <w:t>Convención Interamericana para Prevenir, Sancionar y Erradicar la Violencia contra la Mujer “Convención de Belem Do Pará”</w:t>
      </w:r>
    </w:p>
    <w:p w:rsidR="00332B89" w:rsidRPr="00BA6A0D" w:rsidRDefault="00332B89" w:rsidP="00332B89">
      <w:pPr>
        <w:pStyle w:val="Textoindependiente"/>
        <w:tabs>
          <w:tab w:val="left" w:pos="1409"/>
          <w:tab w:val="left" w:pos="12585"/>
        </w:tabs>
        <w:spacing w:line="276" w:lineRule="auto"/>
        <w:ind w:left="1551" w:hanging="142"/>
        <w:jc w:val="both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1. Mecanismo de seguimiento</w:t>
      </w:r>
    </w:p>
    <w:p w:rsidR="00332B89" w:rsidRPr="00BA6A0D" w:rsidRDefault="00332B89" w:rsidP="00332B89">
      <w:pPr>
        <w:pStyle w:val="Textoindependiente"/>
        <w:tabs>
          <w:tab w:val="left" w:pos="1418"/>
          <w:tab w:val="left" w:pos="11385"/>
          <w:tab w:val="left" w:pos="12585"/>
        </w:tabs>
        <w:spacing w:line="276" w:lineRule="auto"/>
        <w:ind w:left="984"/>
        <w:jc w:val="both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 xml:space="preserve">d) Estándares jurídicos vinculados a la igualdad de género </w:t>
      </w:r>
    </w:p>
    <w:p w:rsidR="00770DB9" w:rsidRDefault="00770DB9">
      <w:pPr>
        <w:rPr>
          <w:rFonts w:ascii="Candara" w:hAnsi="Candara"/>
          <w:sz w:val="25"/>
          <w:szCs w:val="25"/>
        </w:rPr>
      </w:pPr>
    </w:p>
    <w:p w:rsidR="00475931" w:rsidRPr="001B188E" w:rsidRDefault="00475931" w:rsidP="001B188E">
      <w:pPr>
        <w:numPr>
          <w:ilvl w:val="0"/>
          <w:numId w:val="4"/>
        </w:numPr>
        <w:tabs>
          <w:tab w:val="left" w:pos="11385"/>
          <w:tab w:val="left" w:pos="12585"/>
        </w:tabs>
        <w:spacing w:before="120" w:after="120"/>
        <w:ind w:left="371"/>
        <w:rPr>
          <w:rFonts w:ascii="Candara" w:hAnsi="Candara" w:cs="Lucida Sans Unicode"/>
          <w:b/>
          <w:color w:val="441A18"/>
          <w:sz w:val="25"/>
          <w:szCs w:val="25"/>
        </w:rPr>
      </w:pPr>
      <w:r w:rsidRPr="008F41A1">
        <w:rPr>
          <w:rFonts w:ascii="Candara" w:hAnsi="Candara" w:cs="Lucida Sans Unicode"/>
          <w:b/>
          <w:color w:val="632423"/>
          <w:sz w:val="25"/>
          <w:szCs w:val="25"/>
        </w:rPr>
        <w:t>Unidad II</w:t>
      </w:r>
      <w:r>
        <w:rPr>
          <w:rFonts w:ascii="Candara" w:hAnsi="Candara" w:cs="Lucida Sans Unicode"/>
          <w:b/>
          <w:color w:val="632423"/>
          <w:sz w:val="25"/>
          <w:szCs w:val="25"/>
        </w:rPr>
        <w:t>I</w:t>
      </w:r>
      <w:r w:rsidRPr="008F41A1">
        <w:rPr>
          <w:rFonts w:ascii="Candara" w:hAnsi="Candara" w:cs="Lucida Sans Unicode"/>
          <w:b/>
          <w:color w:val="632423"/>
          <w:sz w:val="25"/>
          <w:szCs w:val="25"/>
        </w:rPr>
        <w:t xml:space="preserve">: </w:t>
      </w:r>
      <w:r w:rsidR="003213FF">
        <w:rPr>
          <w:rFonts w:ascii="Candara" w:hAnsi="Candara" w:cs="Lucida Sans Unicode"/>
          <w:b/>
          <w:color w:val="632423"/>
          <w:sz w:val="25"/>
          <w:szCs w:val="25"/>
        </w:rPr>
        <w:t>Acceso a la justicia con perspectiva de género</w:t>
      </w:r>
    </w:p>
    <w:p w:rsidR="00332B89" w:rsidRPr="00BA6A0D" w:rsidRDefault="00332B89" w:rsidP="00332B89">
      <w:pPr>
        <w:tabs>
          <w:tab w:val="left" w:pos="9630"/>
          <w:tab w:val="left" w:pos="9935"/>
          <w:tab w:val="left" w:pos="10185"/>
          <w:tab w:val="left" w:pos="11385"/>
          <w:tab w:val="left" w:pos="12585"/>
        </w:tabs>
        <w:jc w:val="both"/>
        <w:rPr>
          <w:rFonts w:ascii="Candara" w:hAnsi="Candara" w:cs="KOGEEJ+ArialMT"/>
          <w:color w:val="441A18"/>
          <w:sz w:val="25"/>
          <w:szCs w:val="25"/>
        </w:rPr>
      </w:pPr>
      <w:r w:rsidRPr="00BA6A0D">
        <w:rPr>
          <w:rFonts w:ascii="Candara" w:hAnsi="Candara"/>
          <w:b/>
          <w:color w:val="441A18"/>
          <w:sz w:val="25"/>
          <w:szCs w:val="25"/>
        </w:rPr>
        <w:t>Tema 1</w:t>
      </w:r>
      <w:r w:rsidRPr="00BA6A0D">
        <w:rPr>
          <w:rFonts w:ascii="Candara" w:hAnsi="Candara" w:cs="KOGEEJ+ArialMT"/>
          <w:b/>
          <w:color w:val="441A18"/>
          <w:sz w:val="25"/>
          <w:szCs w:val="25"/>
        </w:rPr>
        <w:t xml:space="preserve">: </w:t>
      </w:r>
      <w:r w:rsidRPr="00BA6A0D">
        <w:rPr>
          <w:rFonts w:ascii="Candara" w:hAnsi="Candara"/>
          <w:b/>
          <w:color w:val="441A18"/>
          <w:sz w:val="25"/>
          <w:szCs w:val="25"/>
        </w:rPr>
        <w:t>Herramientas metodológicas para la procuración, administración e impartición de justicia con perspectiva de género</w:t>
      </w:r>
    </w:p>
    <w:p w:rsidR="00332B89" w:rsidRPr="00BA6A0D" w:rsidRDefault="00332B89" w:rsidP="00332B89">
      <w:pPr>
        <w:pStyle w:val="Textoindependiente"/>
        <w:numPr>
          <w:ilvl w:val="0"/>
          <w:numId w:val="24"/>
        </w:numPr>
        <w:tabs>
          <w:tab w:val="left" w:pos="1418"/>
          <w:tab w:val="left" w:pos="12585"/>
        </w:tabs>
        <w:spacing w:line="276" w:lineRule="auto"/>
        <w:ind w:left="1409"/>
        <w:jc w:val="both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lastRenderedPageBreak/>
        <w:t>Análisis e interpretación de las normas con perspectiva de género</w:t>
      </w:r>
    </w:p>
    <w:p w:rsidR="00332B89" w:rsidRPr="00BA6A0D" w:rsidRDefault="00332B89" w:rsidP="00332B89">
      <w:pPr>
        <w:pStyle w:val="Textoindependiente"/>
        <w:numPr>
          <w:ilvl w:val="0"/>
          <w:numId w:val="24"/>
        </w:numPr>
        <w:tabs>
          <w:tab w:val="left" w:pos="1418"/>
          <w:tab w:val="left" w:pos="12585"/>
        </w:tabs>
        <w:spacing w:line="276" w:lineRule="auto"/>
        <w:ind w:left="1409"/>
        <w:jc w:val="both"/>
        <w:rPr>
          <w:rFonts w:ascii="Candara" w:hAnsi="Candara" w:cs="Times New Roman"/>
          <w:color w:val="441A18"/>
          <w:sz w:val="25"/>
          <w:szCs w:val="25"/>
        </w:rPr>
      </w:pPr>
      <w:r w:rsidRPr="00BA6A0D">
        <w:rPr>
          <w:rFonts w:ascii="Candara" w:hAnsi="Candara" w:cs="Times New Roman"/>
          <w:color w:val="441A18"/>
          <w:sz w:val="25"/>
          <w:szCs w:val="25"/>
        </w:rPr>
        <w:t>Juzgar con perspectiva de género</w:t>
      </w:r>
    </w:p>
    <w:p w:rsidR="00BA6A0D" w:rsidRDefault="00BA6A0D" w:rsidP="00BA6A0D">
      <w:pPr>
        <w:pStyle w:val="Sinespaciado"/>
      </w:pPr>
    </w:p>
    <w:p w:rsidR="00332B89" w:rsidRPr="00BA6A0D" w:rsidRDefault="00332B89" w:rsidP="00332B89">
      <w:pPr>
        <w:tabs>
          <w:tab w:val="left" w:pos="984"/>
          <w:tab w:val="left" w:pos="11385"/>
          <w:tab w:val="left" w:pos="12585"/>
        </w:tabs>
        <w:jc w:val="both"/>
        <w:rPr>
          <w:rFonts w:ascii="Candara" w:hAnsi="Candara" w:cs="KOGEEJ+ArialMT"/>
          <w:color w:val="441A18"/>
          <w:sz w:val="25"/>
          <w:szCs w:val="25"/>
        </w:rPr>
      </w:pPr>
      <w:r w:rsidRPr="00BA6A0D">
        <w:rPr>
          <w:rFonts w:ascii="Candara" w:hAnsi="Candara"/>
          <w:b/>
          <w:color w:val="441A18"/>
          <w:sz w:val="25"/>
          <w:szCs w:val="25"/>
        </w:rPr>
        <w:t>Tema 2:</w:t>
      </w:r>
      <w:r w:rsidRPr="00BA6A0D">
        <w:rPr>
          <w:rFonts w:ascii="Candara" w:hAnsi="Candara" w:cs="KOGEEJ+ArialMT"/>
          <w:color w:val="441A18"/>
          <w:sz w:val="25"/>
          <w:szCs w:val="25"/>
        </w:rPr>
        <w:t xml:space="preserve"> </w:t>
      </w:r>
      <w:r w:rsidRPr="00BA6A0D">
        <w:rPr>
          <w:rFonts w:ascii="Candara" w:hAnsi="Candara"/>
          <w:b/>
          <w:color w:val="441A18"/>
          <w:sz w:val="25"/>
          <w:szCs w:val="25"/>
        </w:rPr>
        <w:t>Acceso a la justica con perspectiva de género en América Latina.</w:t>
      </w:r>
    </w:p>
    <w:p w:rsidR="00332B89" w:rsidRPr="00BA6A0D" w:rsidRDefault="00332B89" w:rsidP="00255D33">
      <w:pPr>
        <w:numPr>
          <w:ilvl w:val="0"/>
          <w:numId w:val="23"/>
        </w:numPr>
        <w:tabs>
          <w:tab w:val="left" w:pos="1418"/>
          <w:tab w:val="left" w:pos="11385"/>
          <w:tab w:val="left" w:pos="12585"/>
        </w:tabs>
        <w:spacing w:after="0"/>
        <w:ind w:left="993" w:firstLine="0"/>
        <w:jc w:val="both"/>
        <w:rPr>
          <w:rFonts w:ascii="Candara" w:hAnsi="Candara"/>
          <w:noProof/>
          <w:color w:val="441A18"/>
          <w:sz w:val="25"/>
          <w:szCs w:val="25"/>
          <w:lang w:eastAsia="es-ES"/>
        </w:rPr>
      </w:pPr>
      <w:r w:rsidRPr="00BA6A0D">
        <w:rPr>
          <w:rFonts w:ascii="Candara" w:hAnsi="Candara" w:cs="KOGEEJ+ArialMT"/>
          <w:color w:val="441A18"/>
          <w:sz w:val="25"/>
          <w:szCs w:val="25"/>
        </w:rPr>
        <w:t>Obstáculos para el acceso a la justica de las mujeres</w:t>
      </w:r>
    </w:p>
    <w:p w:rsidR="00284EC6" w:rsidRPr="00BA6A0D" w:rsidRDefault="00332B89" w:rsidP="00255D33">
      <w:pPr>
        <w:numPr>
          <w:ilvl w:val="0"/>
          <w:numId w:val="23"/>
        </w:numPr>
        <w:tabs>
          <w:tab w:val="left" w:pos="1418"/>
          <w:tab w:val="left" w:pos="11385"/>
          <w:tab w:val="left" w:pos="12585"/>
        </w:tabs>
        <w:spacing w:after="0"/>
        <w:ind w:left="993" w:firstLine="0"/>
        <w:jc w:val="both"/>
        <w:rPr>
          <w:rFonts w:ascii="Candara" w:hAnsi="Candara"/>
          <w:noProof/>
          <w:color w:val="441A18"/>
          <w:sz w:val="25"/>
          <w:szCs w:val="25"/>
          <w:lang w:eastAsia="es-ES"/>
        </w:rPr>
      </w:pPr>
      <w:r w:rsidRPr="00BA6A0D">
        <w:rPr>
          <w:rFonts w:ascii="Candara" w:hAnsi="Candara" w:cs="KOGEEJ+ArialMT"/>
          <w:color w:val="441A18"/>
          <w:sz w:val="25"/>
          <w:szCs w:val="25"/>
        </w:rPr>
        <w:t>Análisis de casos en materia de acceso a la justica con perspectiva de género</w:t>
      </w:r>
    </w:p>
    <w:p w:rsidR="00332B89" w:rsidRDefault="00332B89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noProof/>
          <w:color w:val="943634"/>
          <w:sz w:val="30"/>
          <w:szCs w:val="30"/>
          <w:lang w:eastAsia="es-ES"/>
        </w:rPr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 w:rsidRPr="00DD3743">
        <w:rPr>
          <w:rFonts w:ascii="Candara" w:hAnsi="Candara" w:cs="Lucida Sans Unicode"/>
          <w:b/>
          <w:noProof/>
          <w:color w:val="943634"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220980</wp:posOffset>
                </wp:positionV>
                <wp:extent cx="1114425" cy="0"/>
                <wp:effectExtent l="27305" t="20955" r="20320" b="2667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F396" id="Conector recto de flecha 7" o:spid="_x0000_s1026" type="#_x0000_t32" style="position:absolute;margin-left:86.9pt;margin-top:17.4pt;width:8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noProof/>
          <w:color w:val="943634"/>
          <w:sz w:val="30"/>
          <w:szCs w:val="30"/>
          <w:lang w:eastAsia="es-ES"/>
        </w:rPr>
        <w:t>Modalidad</w: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 xml:space="preserve">Materia </w:t>
      </w:r>
      <w:proofErr w:type="spellStart"/>
      <w:r w:rsidRPr="004C5BED">
        <w:rPr>
          <w:rFonts w:ascii="Candara" w:hAnsi="Candara" w:cs="Arial"/>
          <w:color w:val="441A18"/>
          <w:sz w:val="25"/>
          <w:szCs w:val="25"/>
        </w:rPr>
        <w:t>tutoreada</w:t>
      </w:r>
      <w:proofErr w:type="spellEnd"/>
      <w:r w:rsidRPr="004C5BED">
        <w:rPr>
          <w:rFonts w:ascii="Candara" w:hAnsi="Candara" w:cs="Arial"/>
          <w:color w:val="441A18"/>
          <w:sz w:val="25"/>
          <w:szCs w:val="25"/>
        </w:rPr>
        <w:t xml:space="preserve"> y llevada a cabo cien por ciento a distancia, en la plataforma de aula virtual del Diplomado. 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>Papel del tutor: es insu</w:t>
      </w:r>
      <w:r>
        <w:rPr>
          <w:rFonts w:ascii="Candara" w:hAnsi="Candara" w:cs="Arial"/>
          <w:color w:val="441A18"/>
          <w:sz w:val="25"/>
          <w:szCs w:val="25"/>
        </w:rPr>
        <w:t>stituible. Conduce las sesiones</w:t>
      </w:r>
      <w:r w:rsidRPr="004C5BED">
        <w:rPr>
          <w:rFonts w:ascii="Candara" w:hAnsi="Candara" w:cs="Arial"/>
          <w:color w:val="441A18"/>
          <w:sz w:val="25"/>
          <w:szCs w:val="25"/>
        </w:rPr>
        <w:t>. Fomenta la construcción de aprendizajes brindando orientaciones generales y atendiendo consultas específic</w:t>
      </w:r>
      <w:r>
        <w:rPr>
          <w:rFonts w:ascii="Candara" w:hAnsi="Candara" w:cs="Arial"/>
          <w:color w:val="441A18"/>
          <w:sz w:val="25"/>
          <w:szCs w:val="25"/>
        </w:rPr>
        <w:t>as. E</w:t>
      </w:r>
      <w:r w:rsidRPr="004C5BED">
        <w:rPr>
          <w:rFonts w:ascii="Candara" w:hAnsi="Candara" w:cs="Arial"/>
          <w:color w:val="441A18"/>
          <w:sz w:val="25"/>
          <w:szCs w:val="25"/>
        </w:rPr>
        <w:t>valúa las tareas y retroalimenta al grupo</w:t>
      </w:r>
      <w:r>
        <w:rPr>
          <w:rFonts w:ascii="Candara" w:hAnsi="Candara" w:cs="Arial"/>
          <w:color w:val="441A18"/>
          <w:sz w:val="25"/>
          <w:szCs w:val="25"/>
        </w:rPr>
        <w:t>.</w:t>
      </w:r>
    </w:p>
    <w:p w:rsidR="00036E25" w:rsidRDefault="00036E25" w:rsidP="00036E25">
      <w:pPr>
        <w:rPr>
          <w:rFonts w:ascii="Candara" w:hAnsi="Candara" w:cs="Arial"/>
          <w:color w:val="441A18"/>
          <w:sz w:val="25"/>
          <w:szCs w:val="25"/>
        </w:rPr>
      </w:pPr>
      <w:r w:rsidRPr="004C5BED">
        <w:rPr>
          <w:rFonts w:ascii="Candara" w:hAnsi="Candara" w:cs="Arial"/>
          <w:color w:val="441A18"/>
          <w:sz w:val="25"/>
          <w:szCs w:val="25"/>
        </w:rPr>
        <w:t>Papel del estudiante: es el verdadero protagonista y responsable por sus aprendizajes. Se auto-supervisa</w:t>
      </w:r>
      <w:r>
        <w:rPr>
          <w:rFonts w:ascii="Candara" w:hAnsi="Candara" w:cs="Arial"/>
          <w:color w:val="441A18"/>
          <w:sz w:val="25"/>
          <w:szCs w:val="25"/>
        </w:rPr>
        <w:t>. O</w:t>
      </w:r>
      <w:r w:rsidRPr="004C5BED">
        <w:rPr>
          <w:rFonts w:ascii="Candara" w:hAnsi="Candara" w:cs="Arial"/>
          <w:color w:val="441A18"/>
          <w:sz w:val="25"/>
          <w:szCs w:val="25"/>
        </w:rPr>
        <w:t xml:space="preserve">rganiza </w:t>
      </w:r>
      <w:r>
        <w:rPr>
          <w:rFonts w:ascii="Candara" w:hAnsi="Candara" w:cs="Arial"/>
          <w:color w:val="441A18"/>
          <w:sz w:val="25"/>
          <w:szCs w:val="25"/>
        </w:rPr>
        <w:t xml:space="preserve">su tiempo </w:t>
      </w:r>
      <w:r w:rsidRPr="004C5BED">
        <w:rPr>
          <w:rFonts w:ascii="Candara" w:hAnsi="Candara" w:cs="Arial"/>
          <w:color w:val="441A18"/>
          <w:sz w:val="25"/>
          <w:szCs w:val="25"/>
        </w:rPr>
        <w:t xml:space="preserve">para participar apropiadamente </w:t>
      </w:r>
      <w:r>
        <w:rPr>
          <w:rFonts w:ascii="Candara" w:hAnsi="Candara" w:cs="Arial"/>
          <w:color w:val="441A18"/>
          <w:sz w:val="25"/>
          <w:szCs w:val="25"/>
        </w:rPr>
        <w:t xml:space="preserve">en las actividades programadas. </w:t>
      </w:r>
    </w:p>
    <w:p w:rsidR="00036E25" w:rsidRDefault="00036E25" w:rsidP="00036E25">
      <w:pPr>
        <w:rPr>
          <w:rFonts w:ascii="Candara" w:hAnsi="Candara" w:cs="Lucida Sans Unicode"/>
          <w:color w:val="441A18"/>
          <w:sz w:val="25"/>
          <w:szCs w:val="25"/>
        </w:rPr>
      </w:pP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Las acciones centrales del estudiante comprenden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el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análisis de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materiales de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lectura,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la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 xml:space="preserve">interacción con sus pares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y el tutor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>en el aula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, las intervenciones en foros de discusión, la </w:t>
      </w:r>
      <w:r w:rsidRPr="000D4EFA">
        <w:rPr>
          <w:rFonts w:ascii="Candara" w:hAnsi="Candara" w:cs="Lucida Sans Unicode"/>
          <w:color w:val="441A18"/>
          <w:sz w:val="25"/>
          <w:szCs w:val="25"/>
        </w:rPr>
        <w:t>realización de tareas individuales o grupales.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 </w:t>
      </w:r>
    </w:p>
    <w:p w:rsidR="00036E25" w:rsidRPr="00C32284" w:rsidRDefault="00036E25" w:rsidP="00036E25">
      <w:pPr>
        <w:rPr>
          <w:rFonts w:ascii="Candara" w:hAnsi="Candara" w:cs="Lucida Sans Unicode"/>
          <w:color w:val="441A18"/>
          <w:sz w:val="25"/>
          <w:szCs w:val="25"/>
        </w:rPr>
      </w:pPr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La evaluación del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desempeño del estudiante </w:t>
      </w:r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se </w:t>
      </w:r>
      <w:r>
        <w:rPr>
          <w:rFonts w:ascii="Candara" w:hAnsi="Candara" w:cs="Lucida Sans Unicode"/>
          <w:color w:val="441A18"/>
          <w:sz w:val="25"/>
          <w:szCs w:val="25"/>
        </w:rPr>
        <w:t>lleva a cabo</w:t>
      </w:r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 a partir de la participación en las actividades y la presentación de las tareas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 en el aula</w:t>
      </w:r>
      <w:r w:rsidRPr="00C32284">
        <w:rPr>
          <w:rFonts w:ascii="Candara" w:hAnsi="Candara" w:cs="Lucida Sans Unicode"/>
          <w:color w:val="441A18"/>
          <w:sz w:val="25"/>
          <w:szCs w:val="25"/>
        </w:rPr>
        <w:t>.</w:t>
      </w:r>
    </w:p>
    <w:p w:rsidR="00C92E6C" w:rsidRDefault="00C92E6C" w:rsidP="00C92E6C">
      <w:pPr>
        <w:pStyle w:val="Sinespaciado"/>
      </w:pPr>
    </w:p>
    <w:p w:rsidR="00036E25" w:rsidRPr="00DD3743" w:rsidRDefault="00036E25" w:rsidP="00036E25">
      <w:pPr>
        <w:tabs>
          <w:tab w:val="left" w:pos="7020"/>
        </w:tabs>
        <w:spacing w:before="120" w:after="120"/>
        <w:rPr>
          <w:rFonts w:ascii="Candara" w:hAnsi="Candara" w:cs="Lucida Sans Unicode"/>
          <w:b/>
          <w:color w:val="943634"/>
          <w:sz w:val="30"/>
          <w:szCs w:val="3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220979</wp:posOffset>
                </wp:positionV>
                <wp:extent cx="1114425" cy="0"/>
                <wp:effectExtent l="0" t="19050" r="28575" b="190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E5B8B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746A3" id="Conector recto de flecha 8" o:spid="_x0000_s1026" type="#_x0000_t32" style="position:absolute;margin-left:77.15pt;margin-top:17.4pt;width:87.7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" strokecolor="#e5b8b7" strokeweight="3pt">
                <v:shadow color="#622423" opacity=".5" offset="1pt"/>
              </v:shape>
            </w:pict>
          </mc:Fallback>
        </mc:AlternateContent>
      </w:r>
      <w:r>
        <w:rPr>
          <w:rFonts w:ascii="Candara" w:hAnsi="Candara" w:cs="Lucida Sans Unicode"/>
          <w:b/>
          <w:color w:val="943634"/>
          <w:sz w:val="30"/>
          <w:szCs w:val="30"/>
        </w:rPr>
        <w:t xml:space="preserve">Duración </w:t>
      </w:r>
      <w:r w:rsidRPr="00DD3743">
        <w:rPr>
          <w:rFonts w:ascii="Candara" w:hAnsi="Candara" w:cs="Lucida Sans Unicode"/>
          <w:b/>
          <w:color w:val="943634"/>
          <w:sz w:val="30"/>
          <w:szCs w:val="30"/>
        </w:rPr>
        <w:t xml:space="preserve"> </w:t>
      </w:r>
    </w:p>
    <w:p w:rsidR="00036E25" w:rsidRDefault="00036E25">
      <w:r w:rsidRPr="00C32284">
        <w:rPr>
          <w:rFonts w:ascii="Candara" w:hAnsi="Candara" w:cs="Lucida Sans Unicode"/>
          <w:color w:val="441A18"/>
          <w:sz w:val="25"/>
          <w:szCs w:val="25"/>
        </w:rPr>
        <w:t xml:space="preserve">La 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materia dura cuatro semanas en total, en las que se llevan a cabo </w:t>
      </w:r>
      <w:r w:rsidR="006800CA">
        <w:rPr>
          <w:rFonts w:ascii="Candara" w:hAnsi="Candara" w:cs="Lucida Sans Unicode"/>
          <w:color w:val="441A18"/>
          <w:sz w:val="25"/>
          <w:szCs w:val="25"/>
        </w:rPr>
        <w:t>tres</w:t>
      </w:r>
      <w:r>
        <w:rPr>
          <w:rFonts w:ascii="Candara" w:hAnsi="Candara" w:cs="Lucida Sans Unicode"/>
          <w:color w:val="441A18"/>
          <w:sz w:val="25"/>
          <w:szCs w:val="25"/>
        </w:rPr>
        <w:t xml:space="preserve"> sesio</w:t>
      </w:r>
      <w:r w:rsidR="00CE3AA8">
        <w:rPr>
          <w:rFonts w:ascii="Candara" w:hAnsi="Candara" w:cs="Lucida Sans Unicode"/>
          <w:color w:val="441A18"/>
          <w:sz w:val="25"/>
          <w:szCs w:val="25"/>
        </w:rPr>
        <w:t xml:space="preserve">nes en secuencia. </w:t>
      </w:r>
      <w:r w:rsidR="006800CA">
        <w:rPr>
          <w:rFonts w:ascii="Candara" w:hAnsi="Candara" w:cs="Lucida Sans Unicode"/>
          <w:color w:val="441A18"/>
          <w:sz w:val="25"/>
          <w:szCs w:val="25"/>
        </w:rPr>
        <w:t xml:space="preserve">Las sesiones 1 y 2 </w:t>
      </w:r>
      <w:r w:rsidR="00946491">
        <w:rPr>
          <w:rFonts w:ascii="Candara" w:hAnsi="Candara" w:cs="Lucida Sans Unicode"/>
          <w:color w:val="441A18"/>
          <w:sz w:val="25"/>
          <w:szCs w:val="25"/>
        </w:rPr>
        <w:t>de una semana de duración</w:t>
      </w:r>
      <w:r w:rsidR="006800CA">
        <w:rPr>
          <w:rFonts w:ascii="Candara" w:hAnsi="Candara" w:cs="Lucida Sans Unicode"/>
          <w:color w:val="441A18"/>
          <w:sz w:val="25"/>
          <w:szCs w:val="25"/>
        </w:rPr>
        <w:t xml:space="preserve"> cada una y la sesión 3 de dos semanas</w:t>
      </w:r>
      <w:r w:rsidR="00946491">
        <w:rPr>
          <w:rFonts w:ascii="Candara" w:hAnsi="Candara" w:cs="Lucida Sans Unicode"/>
          <w:color w:val="441A18"/>
          <w:sz w:val="25"/>
          <w:szCs w:val="25"/>
        </w:rPr>
        <w:t xml:space="preserve">. </w:t>
      </w:r>
      <w:r>
        <w:rPr>
          <w:rFonts w:ascii="Candara" w:hAnsi="Candara" w:cs="Lucida Sans Unicode"/>
          <w:color w:val="441A18"/>
          <w:sz w:val="25"/>
          <w:szCs w:val="25"/>
        </w:rPr>
        <w:t>En el documento “Implementación” se presenta las actividades programadas por sesión</w:t>
      </w:r>
      <w:r w:rsidRPr="00C32284">
        <w:rPr>
          <w:rFonts w:ascii="Candara" w:hAnsi="Candara" w:cs="Lucida Sans Unicode"/>
          <w:color w:val="441A18"/>
          <w:sz w:val="25"/>
          <w:szCs w:val="25"/>
        </w:rPr>
        <w:t>.</w:t>
      </w:r>
      <w:bookmarkStart w:id="0" w:name="_GoBack"/>
      <w:bookmarkEnd w:id="0"/>
    </w:p>
    <w:sectPr w:rsidR="00036E2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C6" w:rsidRDefault="00C232C6" w:rsidP="00833507">
      <w:pPr>
        <w:spacing w:after="0" w:line="240" w:lineRule="auto"/>
      </w:pPr>
      <w:r>
        <w:separator/>
      </w:r>
    </w:p>
  </w:endnote>
  <w:endnote w:type="continuationSeparator" w:id="0">
    <w:p w:rsidR="00C232C6" w:rsidRDefault="00C232C6" w:rsidP="0083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OGEEJ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987697"/>
      <w:docPartObj>
        <w:docPartGallery w:val="Page Numbers (Bottom of Page)"/>
        <w:docPartUnique/>
      </w:docPartObj>
    </w:sdtPr>
    <w:sdtEndPr/>
    <w:sdtContent>
      <w:p w:rsidR="00833507" w:rsidRDefault="00833507">
        <w:pPr>
          <w:pStyle w:val="Piedepgina"/>
        </w:pPr>
        <w:r>
          <w:rPr>
            <w:noProof/>
            <w:lang w:val="es-PE" w:eastAsia="es-PE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0" name="Grup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33507" w:rsidRDefault="00833507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800CA" w:rsidRPr="006800CA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1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DPeiSWZgMA&#10;ACE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" filled="f" strokecolor="#7f7f7f">
                    <v:textbox>
                      <w:txbxContent>
                        <w:p w:rsidR="00833507" w:rsidRDefault="00833507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800CA" w:rsidRPr="006800CA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C6" w:rsidRDefault="00C232C6" w:rsidP="00833507">
      <w:pPr>
        <w:spacing w:after="0" w:line="240" w:lineRule="auto"/>
      </w:pPr>
      <w:r>
        <w:separator/>
      </w:r>
    </w:p>
  </w:footnote>
  <w:footnote w:type="continuationSeparator" w:id="0">
    <w:p w:rsidR="00C232C6" w:rsidRDefault="00C232C6" w:rsidP="0083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7C0"/>
    <w:multiLevelType w:val="hybridMultilevel"/>
    <w:tmpl w:val="C4965C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27F0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C7CAF"/>
    <w:multiLevelType w:val="hybridMultilevel"/>
    <w:tmpl w:val="3382560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B3B"/>
    <w:multiLevelType w:val="singleLevel"/>
    <w:tmpl w:val="4FE4605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1436F2"/>
    <w:multiLevelType w:val="hybridMultilevel"/>
    <w:tmpl w:val="6F8A69E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255F"/>
    <w:multiLevelType w:val="hybridMultilevel"/>
    <w:tmpl w:val="B0FA0622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B1D5343"/>
    <w:multiLevelType w:val="multilevel"/>
    <w:tmpl w:val="0C72E9A2"/>
    <w:lvl w:ilvl="0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7" w15:restartNumberingAfterBreak="0">
    <w:nsid w:val="20017189"/>
    <w:multiLevelType w:val="multilevel"/>
    <w:tmpl w:val="085E6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8" w15:restartNumberingAfterBreak="0">
    <w:nsid w:val="229E443B"/>
    <w:multiLevelType w:val="hybridMultilevel"/>
    <w:tmpl w:val="91887D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66AFE"/>
    <w:multiLevelType w:val="hybridMultilevel"/>
    <w:tmpl w:val="5CC2FFA0"/>
    <w:lvl w:ilvl="0" w:tplc="53B6E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441A18"/>
      </w:rPr>
    </w:lvl>
    <w:lvl w:ilvl="1" w:tplc="6366B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441A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ABF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color w:val="441A18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96E2D"/>
    <w:multiLevelType w:val="hybridMultilevel"/>
    <w:tmpl w:val="0AFA7D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427F2"/>
    <w:multiLevelType w:val="hybridMultilevel"/>
    <w:tmpl w:val="45B0F0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F0C59"/>
    <w:multiLevelType w:val="hybridMultilevel"/>
    <w:tmpl w:val="AA4498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4478"/>
    <w:multiLevelType w:val="hybridMultilevel"/>
    <w:tmpl w:val="06425998"/>
    <w:lvl w:ilvl="0" w:tplc="4EE403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54846"/>
    <w:multiLevelType w:val="hybridMultilevel"/>
    <w:tmpl w:val="2D0207C4"/>
    <w:lvl w:ilvl="0" w:tplc="91448614">
      <w:start w:val="1"/>
      <w:numFmt w:val="lowerLetter"/>
      <w:lvlText w:val="%1)"/>
      <w:lvlJc w:val="left"/>
      <w:pPr>
        <w:ind w:left="13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64" w:hanging="360"/>
      </w:pPr>
    </w:lvl>
    <w:lvl w:ilvl="2" w:tplc="0C0A001B" w:tentative="1">
      <w:start w:val="1"/>
      <w:numFmt w:val="lowerRoman"/>
      <w:lvlText w:val="%3."/>
      <w:lvlJc w:val="right"/>
      <w:pPr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5" w15:restartNumberingAfterBreak="0">
    <w:nsid w:val="58E05425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F0C1ECA"/>
    <w:multiLevelType w:val="singleLevel"/>
    <w:tmpl w:val="5A3883C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F7254DF"/>
    <w:multiLevelType w:val="hybridMultilevel"/>
    <w:tmpl w:val="ABCE7D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61F14"/>
    <w:multiLevelType w:val="hybridMultilevel"/>
    <w:tmpl w:val="217017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C4BBF"/>
    <w:multiLevelType w:val="hybridMultilevel"/>
    <w:tmpl w:val="20C45AF6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8E31120"/>
    <w:multiLevelType w:val="hybridMultilevel"/>
    <w:tmpl w:val="713EEF50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FB4549"/>
    <w:multiLevelType w:val="hybridMultilevel"/>
    <w:tmpl w:val="95EE699C"/>
    <w:lvl w:ilvl="0" w:tplc="69382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E46CD"/>
    <w:multiLevelType w:val="hybridMultilevel"/>
    <w:tmpl w:val="C50ACAF0"/>
    <w:lvl w:ilvl="0" w:tplc="0C0A0017">
      <w:start w:val="1"/>
      <w:numFmt w:val="lowerLetter"/>
      <w:lvlText w:val="%1)"/>
      <w:lvlJc w:val="left"/>
      <w:pPr>
        <w:ind w:left="1771" w:hanging="360"/>
      </w:pPr>
    </w:lvl>
    <w:lvl w:ilvl="1" w:tplc="0C0A0019" w:tentative="1">
      <w:start w:val="1"/>
      <w:numFmt w:val="lowerLetter"/>
      <w:lvlText w:val="%2."/>
      <w:lvlJc w:val="left"/>
      <w:pPr>
        <w:ind w:left="2491" w:hanging="360"/>
      </w:pPr>
    </w:lvl>
    <w:lvl w:ilvl="2" w:tplc="0C0A001B" w:tentative="1">
      <w:start w:val="1"/>
      <w:numFmt w:val="lowerRoman"/>
      <w:lvlText w:val="%3."/>
      <w:lvlJc w:val="right"/>
      <w:pPr>
        <w:ind w:left="3211" w:hanging="180"/>
      </w:pPr>
    </w:lvl>
    <w:lvl w:ilvl="3" w:tplc="0C0A000F" w:tentative="1">
      <w:start w:val="1"/>
      <w:numFmt w:val="decimal"/>
      <w:lvlText w:val="%4."/>
      <w:lvlJc w:val="left"/>
      <w:pPr>
        <w:ind w:left="3931" w:hanging="360"/>
      </w:pPr>
    </w:lvl>
    <w:lvl w:ilvl="4" w:tplc="0C0A0019" w:tentative="1">
      <w:start w:val="1"/>
      <w:numFmt w:val="lowerLetter"/>
      <w:lvlText w:val="%5."/>
      <w:lvlJc w:val="left"/>
      <w:pPr>
        <w:ind w:left="4651" w:hanging="360"/>
      </w:pPr>
    </w:lvl>
    <w:lvl w:ilvl="5" w:tplc="0C0A001B" w:tentative="1">
      <w:start w:val="1"/>
      <w:numFmt w:val="lowerRoman"/>
      <w:lvlText w:val="%6."/>
      <w:lvlJc w:val="right"/>
      <w:pPr>
        <w:ind w:left="5371" w:hanging="180"/>
      </w:pPr>
    </w:lvl>
    <w:lvl w:ilvl="6" w:tplc="0C0A000F" w:tentative="1">
      <w:start w:val="1"/>
      <w:numFmt w:val="decimal"/>
      <w:lvlText w:val="%7."/>
      <w:lvlJc w:val="left"/>
      <w:pPr>
        <w:ind w:left="6091" w:hanging="360"/>
      </w:pPr>
    </w:lvl>
    <w:lvl w:ilvl="7" w:tplc="0C0A0019" w:tentative="1">
      <w:start w:val="1"/>
      <w:numFmt w:val="lowerLetter"/>
      <w:lvlText w:val="%8."/>
      <w:lvlJc w:val="left"/>
      <w:pPr>
        <w:ind w:left="6811" w:hanging="360"/>
      </w:pPr>
    </w:lvl>
    <w:lvl w:ilvl="8" w:tplc="0C0A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3" w15:restartNumberingAfterBreak="0">
    <w:nsid w:val="75675292"/>
    <w:multiLevelType w:val="hybridMultilevel"/>
    <w:tmpl w:val="910853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15"/>
  </w:num>
  <w:num w:numId="7">
    <w:abstractNumId w:val="6"/>
  </w:num>
  <w:num w:numId="8">
    <w:abstractNumId w:val="3"/>
  </w:num>
  <w:num w:numId="9">
    <w:abstractNumId w:val="16"/>
  </w:num>
  <w:num w:numId="10">
    <w:abstractNumId w:val="1"/>
  </w:num>
  <w:num w:numId="11">
    <w:abstractNumId w:val="13"/>
  </w:num>
  <w:num w:numId="12">
    <w:abstractNumId w:val="4"/>
  </w:num>
  <w:num w:numId="13">
    <w:abstractNumId w:val="11"/>
  </w:num>
  <w:num w:numId="14">
    <w:abstractNumId w:val="7"/>
  </w:num>
  <w:num w:numId="15">
    <w:abstractNumId w:val="17"/>
  </w:num>
  <w:num w:numId="16">
    <w:abstractNumId w:val="0"/>
  </w:num>
  <w:num w:numId="17">
    <w:abstractNumId w:val="20"/>
  </w:num>
  <w:num w:numId="18">
    <w:abstractNumId w:val="10"/>
  </w:num>
  <w:num w:numId="19">
    <w:abstractNumId w:val="21"/>
  </w:num>
  <w:num w:numId="20">
    <w:abstractNumId w:val="14"/>
  </w:num>
  <w:num w:numId="21">
    <w:abstractNumId w:val="5"/>
  </w:num>
  <w:num w:numId="22">
    <w:abstractNumId w:val="19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C8"/>
    <w:rsid w:val="00015534"/>
    <w:rsid w:val="000170AE"/>
    <w:rsid w:val="00036E25"/>
    <w:rsid w:val="00062603"/>
    <w:rsid w:val="000C5BD0"/>
    <w:rsid w:val="00105DAD"/>
    <w:rsid w:val="0011170C"/>
    <w:rsid w:val="001772C8"/>
    <w:rsid w:val="001B188E"/>
    <w:rsid w:val="00236E3C"/>
    <w:rsid w:val="00284EC6"/>
    <w:rsid w:val="002D0F86"/>
    <w:rsid w:val="0030275F"/>
    <w:rsid w:val="003213FF"/>
    <w:rsid w:val="0032798E"/>
    <w:rsid w:val="00332B89"/>
    <w:rsid w:val="0035125C"/>
    <w:rsid w:val="0037735A"/>
    <w:rsid w:val="003D2CE0"/>
    <w:rsid w:val="003D71F4"/>
    <w:rsid w:val="004459A1"/>
    <w:rsid w:val="00460843"/>
    <w:rsid w:val="00475931"/>
    <w:rsid w:val="004E6172"/>
    <w:rsid w:val="006800CA"/>
    <w:rsid w:val="00695A3E"/>
    <w:rsid w:val="006A33E0"/>
    <w:rsid w:val="00770DB9"/>
    <w:rsid w:val="00833507"/>
    <w:rsid w:val="008F41A1"/>
    <w:rsid w:val="00927AA3"/>
    <w:rsid w:val="00933586"/>
    <w:rsid w:val="00946491"/>
    <w:rsid w:val="00965457"/>
    <w:rsid w:val="009A3A1C"/>
    <w:rsid w:val="00A04C68"/>
    <w:rsid w:val="00B50C7C"/>
    <w:rsid w:val="00B66C89"/>
    <w:rsid w:val="00BA2AF2"/>
    <w:rsid w:val="00BA6A0D"/>
    <w:rsid w:val="00C232C6"/>
    <w:rsid w:val="00C5002B"/>
    <w:rsid w:val="00C527B6"/>
    <w:rsid w:val="00C92E6C"/>
    <w:rsid w:val="00CE3AA8"/>
    <w:rsid w:val="00D54339"/>
    <w:rsid w:val="00DC7119"/>
    <w:rsid w:val="00E56C09"/>
    <w:rsid w:val="00E92346"/>
    <w:rsid w:val="00EB4DCB"/>
    <w:rsid w:val="00EB5F9D"/>
    <w:rsid w:val="00F050C8"/>
    <w:rsid w:val="00F05219"/>
    <w:rsid w:val="00F07372"/>
    <w:rsid w:val="00F27C2A"/>
    <w:rsid w:val="00F73585"/>
    <w:rsid w:val="00F862F1"/>
    <w:rsid w:val="00F95C46"/>
    <w:rsid w:val="00FA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0EBF08"/>
  <w15:chartTrackingRefBased/>
  <w15:docId w15:val="{92353359-06BF-4DB9-B8FE-3A55190F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C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6E2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170AE"/>
    <w:pPr>
      <w:spacing w:after="0" w:line="240" w:lineRule="auto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70AE"/>
    <w:rPr>
      <w:rFonts w:ascii="Arial" w:eastAsia="Times New Roman" w:hAnsi="Arial" w:cs="Arial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70D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70DB9"/>
    <w:rPr>
      <w:rFonts w:ascii="Calibri" w:eastAsia="Calibri" w:hAnsi="Calibri" w:cs="Times New Roman"/>
      <w:lang w:val="es-ES"/>
    </w:rPr>
  </w:style>
  <w:style w:type="paragraph" w:styleId="Sangradetextonormal">
    <w:name w:val="Body Text Indent"/>
    <w:basedOn w:val="Normal"/>
    <w:link w:val="SangradetextonormalCar"/>
    <w:rsid w:val="00770DB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V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70DB9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70D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70DB9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nhideWhenUsed/>
    <w:rsid w:val="008335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50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5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507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B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2019-10-15T17:51:00Z</dcterms:created>
  <dcterms:modified xsi:type="dcterms:W3CDTF">2019-10-15T17:52:00Z</dcterms:modified>
</cp:coreProperties>
</file>